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DD5B" w14:textId="77777777" w:rsidR="00631422" w:rsidRPr="00DD50F3" w:rsidRDefault="00631422" w:rsidP="00631422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0A647BD" w14:textId="77777777" w:rsidR="00DD50F3" w:rsidRPr="00DD50F3" w:rsidRDefault="00DD50F3" w:rsidP="00DD50F3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37151919"/>
      <w:r w:rsidRPr="00DD50F3">
        <w:rPr>
          <w:b/>
          <w:bCs/>
          <w:sz w:val="28"/>
          <w:szCs w:val="28"/>
        </w:rPr>
        <w:t>POLIZZA COLLETTIVA DI RIMBORSO SPESE SANITARIE A FAVORE DEL PERSONALE CONTRATTUALIZZATO</w:t>
      </w:r>
    </w:p>
    <w:p w14:paraId="161B0B95" w14:textId="77777777" w:rsidR="00DD50F3" w:rsidRPr="00DD50F3" w:rsidRDefault="00DD50F3" w:rsidP="00DD50F3">
      <w:pPr>
        <w:spacing w:line="276" w:lineRule="auto"/>
        <w:jc w:val="center"/>
        <w:rPr>
          <w:b/>
          <w:bCs/>
          <w:sz w:val="28"/>
          <w:szCs w:val="28"/>
        </w:rPr>
      </w:pPr>
      <w:r w:rsidRPr="00DD50F3">
        <w:rPr>
          <w:b/>
          <w:bCs/>
          <w:sz w:val="28"/>
          <w:szCs w:val="28"/>
        </w:rPr>
        <w:t>DELL’ALMA MATER STUDIORUM – UNIVERSITA’ DI BOLOGNA</w:t>
      </w:r>
    </w:p>
    <w:p w14:paraId="26981884" w14:textId="77777777" w:rsidR="00DD50F3" w:rsidRPr="00DD50F3" w:rsidRDefault="00DD50F3" w:rsidP="00DD50F3">
      <w:pPr>
        <w:spacing w:line="276" w:lineRule="auto"/>
        <w:jc w:val="center"/>
        <w:rPr>
          <w:b/>
          <w:bCs/>
          <w:sz w:val="28"/>
          <w:szCs w:val="28"/>
        </w:rPr>
      </w:pPr>
      <w:r w:rsidRPr="00DD50F3">
        <w:rPr>
          <w:b/>
          <w:bCs/>
          <w:sz w:val="28"/>
          <w:szCs w:val="28"/>
        </w:rPr>
        <w:t xml:space="preserve">CON POSSIBILITÀ DI ADESIONE DEL NUCLEO FAMILIARE </w:t>
      </w:r>
    </w:p>
    <w:bookmarkEnd w:id="0"/>
    <w:p w14:paraId="3886D5D2" w14:textId="20F62C36" w:rsidR="001F18EC" w:rsidRDefault="001F18EC" w:rsidP="001F18EC">
      <w:pPr>
        <w:jc w:val="center"/>
        <w:rPr>
          <w:rFonts w:eastAsia="Calibri"/>
          <w:b/>
          <w:lang w:eastAsia="en-US"/>
        </w:rPr>
      </w:pPr>
    </w:p>
    <w:p w14:paraId="1F0AC9A5" w14:textId="71393406" w:rsidR="001F18EC" w:rsidRDefault="001F18EC" w:rsidP="001F18EC">
      <w:pPr>
        <w:jc w:val="center"/>
        <w:rPr>
          <w:rFonts w:eastAsia="Calibri"/>
          <w:b/>
          <w:lang w:eastAsia="en-US"/>
        </w:rPr>
      </w:pPr>
    </w:p>
    <w:p w14:paraId="3A8DCF1A" w14:textId="77777777" w:rsidR="001F18EC" w:rsidRPr="001F18EC" w:rsidRDefault="001F18EC" w:rsidP="001F18EC">
      <w:pPr>
        <w:jc w:val="center"/>
        <w:rPr>
          <w:rFonts w:eastAsia="Calibri"/>
          <w:b/>
          <w:lang w:eastAsia="en-US"/>
        </w:rPr>
      </w:pPr>
    </w:p>
    <w:p w14:paraId="10E0E7BD" w14:textId="77777777" w:rsidR="00BE5CA0" w:rsidRDefault="00BE5CA0" w:rsidP="0063142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3AF64CEB" w14:textId="17E35754" w:rsidR="00631422" w:rsidRPr="00CE4A3E" w:rsidRDefault="00736543" w:rsidP="00631422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MODULO </w:t>
      </w:r>
      <w:r w:rsidR="0052326A" w:rsidRPr="00CE4A3E">
        <w:rPr>
          <w:rFonts w:eastAsia="Calibri"/>
          <w:b/>
          <w:sz w:val="28"/>
          <w:lang w:eastAsia="en-US"/>
        </w:rPr>
        <w:t xml:space="preserve">DI </w:t>
      </w:r>
      <w:r w:rsidR="00C44ACE" w:rsidRPr="00CE4A3E">
        <w:rPr>
          <w:rFonts w:eastAsia="Calibri"/>
          <w:b/>
          <w:sz w:val="28"/>
          <w:lang w:eastAsia="en-US"/>
        </w:rPr>
        <w:t>OFFERTA TECNICA</w:t>
      </w:r>
    </w:p>
    <w:p w14:paraId="15F1B96D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5634D35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D95D672" w14:textId="74FE4BA9" w:rsidR="00631422" w:rsidRPr="00631422" w:rsidRDefault="00DA02B3" w:rsidP="00DA02B3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A6834">
        <w:rPr>
          <w:rFonts w:eastAsia="Calibri"/>
          <w:b/>
          <w:lang w:eastAsia="en-US"/>
        </w:rPr>
        <w:t xml:space="preserve">CIG: </w:t>
      </w:r>
      <w:r w:rsidR="000A6834" w:rsidRPr="000A6834">
        <w:rPr>
          <w:rFonts w:eastAsia="Calibri"/>
          <w:b/>
          <w:lang w:eastAsia="en-US"/>
        </w:rPr>
        <w:t>988967412A</w:t>
      </w:r>
    </w:p>
    <w:p w14:paraId="7850DEB4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17C9301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32071B2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EB67574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8C4E165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407BC13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7C723AE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DB0B0F0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E80C226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CA51947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4C77ABB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3BC2BC7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4E854F3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200FB816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1615D440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  <w:sectPr w:rsidR="00631422" w:rsidRPr="00631422" w:rsidSect="002A6AD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631422">
        <w:rPr>
          <w:rFonts w:eastAsia="Calibri"/>
          <w:b/>
          <w:lang w:eastAsia="en-US"/>
        </w:rPr>
        <w:br w:type="page"/>
      </w:r>
    </w:p>
    <w:p w14:paraId="37E73F6C" w14:textId="77777777" w:rsidR="00A42913" w:rsidRDefault="00A42913" w:rsidP="00A42913">
      <w:pPr>
        <w:jc w:val="both"/>
        <w:rPr>
          <w:rFonts w:eastAsia="Calibri"/>
          <w:b/>
          <w:sz w:val="22"/>
          <w:szCs w:val="18"/>
          <w:lang w:eastAsia="en-US"/>
        </w:rPr>
      </w:pPr>
    </w:p>
    <w:tbl>
      <w:tblPr>
        <w:tblStyle w:val="Grigliatabella"/>
        <w:tblW w:w="10207" w:type="dxa"/>
        <w:tblInd w:w="-714" w:type="dxa"/>
        <w:tblLook w:val="04A0" w:firstRow="1" w:lastRow="0" w:firstColumn="1" w:lastColumn="0" w:noHBand="0" w:noVBand="1"/>
      </w:tblPr>
      <w:tblGrid>
        <w:gridCol w:w="4709"/>
        <w:gridCol w:w="5498"/>
      </w:tblGrid>
      <w:tr w:rsidR="00DD50F3" w:rsidRPr="00631422" w14:paraId="32AC6DC6" w14:textId="77777777" w:rsidTr="004A2D85">
        <w:tc>
          <w:tcPr>
            <w:tcW w:w="4709" w:type="dxa"/>
            <w:shd w:val="clear" w:color="auto" w:fill="F2DBDB"/>
            <w:vAlign w:val="center"/>
          </w:tcPr>
          <w:p w14:paraId="6ED59758" w14:textId="77777777" w:rsidR="00DD50F3" w:rsidRPr="00631422" w:rsidRDefault="00DD50F3" w:rsidP="004A2D85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Operatore economico</w:t>
            </w:r>
          </w:p>
        </w:tc>
        <w:tc>
          <w:tcPr>
            <w:tcW w:w="5498" w:type="dxa"/>
            <w:vAlign w:val="center"/>
          </w:tcPr>
          <w:p w14:paraId="131BF5AB" w14:textId="77777777" w:rsidR="00DD50F3" w:rsidRPr="00631422" w:rsidRDefault="00DD50F3" w:rsidP="004A2D85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DD50F3" w:rsidRPr="00631422" w14:paraId="2FE6AEB8" w14:textId="77777777" w:rsidTr="004A2D85">
        <w:tc>
          <w:tcPr>
            <w:tcW w:w="4709" w:type="dxa"/>
            <w:shd w:val="clear" w:color="auto" w:fill="F2DBDB"/>
            <w:vAlign w:val="center"/>
          </w:tcPr>
          <w:p w14:paraId="1BFC17CE" w14:textId="77777777" w:rsidR="00DD50F3" w:rsidRDefault="00DD50F3" w:rsidP="004A2D85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Indirizzo PEC dell’operatore economico</w:t>
            </w:r>
          </w:p>
        </w:tc>
        <w:tc>
          <w:tcPr>
            <w:tcW w:w="5498" w:type="dxa"/>
            <w:vAlign w:val="center"/>
          </w:tcPr>
          <w:p w14:paraId="3129E944" w14:textId="77777777" w:rsidR="00DD50F3" w:rsidRPr="00631422" w:rsidRDefault="00DD50F3" w:rsidP="004A2D85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</w:tbl>
    <w:p w14:paraId="78B45BC0" w14:textId="77777777" w:rsidR="00583FCF" w:rsidRDefault="00583FCF" w:rsidP="00583FCF">
      <w:pPr>
        <w:widowControl w:val="0"/>
        <w:spacing w:line="259" w:lineRule="auto"/>
        <w:ind w:left="-709" w:right="-879"/>
        <w:jc w:val="both"/>
        <w:rPr>
          <w:rFonts w:eastAsia="Calibri"/>
          <w:highlight w:val="yellow"/>
          <w:u w:val="single"/>
          <w:lang w:eastAsia="en-US"/>
        </w:rPr>
      </w:pPr>
    </w:p>
    <w:p w14:paraId="1AA8F7F2" w14:textId="3B11801B" w:rsidR="00EA2DBB" w:rsidRDefault="00EA2DBB" w:rsidP="00EA2DBB">
      <w:pPr>
        <w:widowControl w:val="0"/>
        <w:spacing w:line="259" w:lineRule="auto"/>
        <w:ind w:left="-709" w:right="-879"/>
        <w:jc w:val="both"/>
        <w:rPr>
          <w:rFonts w:eastAsia="Calibri"/>
          <w:b/>
          <w:lang w:eastAsia="en-US"/>
        </w:rPr>
      </w:pPr>
    </w:p>
    <w:p w14:paraId="6B1F26E2" w14:textId="2B2E406E" w:rsidR="00DD50F3" w:rsidRDefault="00DD50F3" w:rsidP="00DD50F3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</w:t>
      </w:r>
      <w:r w:rsidRPr="00A75E3C">
        <w:rPr>
          <w:rFonts w:eastAsia="Calibri"/>
          <w:b/>
          <w:i/>
          <w:lang w:eastAsia="en-US"/>
        </w:rPr>
        <w:t xml:space="preserve">er </w:t>
      </w:r>
      <w:r w:rsidRPr="004203A0">
        <w:rPr>
          <w:rFonts w:eastAsia="Calibri"/>
          <w:b/>
          <w:i/>
          <w:lang w:eastAsia="en-US"/>
        </w:rPr>
        <w:t>ciascun criterio/sub-criterio</w:t>
      </w:r>
      <w:r w:rsidRPr="00B5472A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di valutazione il concorrente dovrà indicare per ciascun criterio di valutazione la proposta migliorativa eventualmente offerta, tenendo conto de</w:t>
      </w:r>
      <w:r w:rsidRPr="00DD50F3">
        <w:rPr>
          <w:rFonts w:eastAsia="Calibri"/>
          <w:b/>
          <w:i/>
          <w:lang w:eastAsia="en-US"/>
        </w:rPr>
        <w:t>lla modalità di attribuzione del punteggio indicata nella tabella relativa ai “Criteri di valutazione dell’offerta tecnica” contenuta nella documentazione di gara.</w:t>
      </w:r>
    </w:p>
    <w:p w14:paraId="7C72DD42" w14:textId="2F7143C8" w:rsidR="0029648F" w:rsidRDefault="0029648F" w:rsidP="00631422">
      <w:pPr>
        <w:spacing w:after="160" w:line="259" w:lineRule="auto"/>
        <w:jc w:val="both"/>
        <w:rPr>
          <w:rFonts w:eastAsia="Calibri"/>
          <w:b/>
          <w:color w:val="FF0000"/>
          <w:sz w:val="22"/>
          <w:szCs w:val="18"/>
          <w:lang w:eastAsia="en-US"/>
        </w:rPr>
      </w:pPr>
    </w:p>
    <w:tbl>
      <w:tblPr>
        <w:tblStyle w:val="Grigliatabella2"/>
        <w:tblW w:w="8416" w:type="dxa"/>
        <w:jc w:val="center"/>
        <w:tblLook w:val="04A0" w:firstRow="1" w:lastRow="0" w:firstColumn="1" w:lastColumn="0" w:noHBand="0" w:noVBand="1"/>
      </w:tblPr>
      <w:tblGrid>
        <w:gridCol w:w="463"/>
        <w:gridCol w:w="3867"/>
        <w:gridCol w:w="4086"/>
      </w:tblGrid>
      <w:tr w:rsidR="00DD50F3" w:rsidRPr="00F22BE3" w14:paraId="58BAFD31" w14:textId="77777777" w:rsidTr="00DD50F3">
        <w:trPr>
          <w:trHeight w:val="26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9F56D36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sz w:val="18"/>
                <w:szCs w:val="18"/>
              </w:rPr>
              <w:t>N°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76B983E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BC6462" w14:textId="189BEA6C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F22BE3">
              <w:rPr>
                <w:rFonts w:ascii="Montserrat" w:hAnsi="Montserrat"/>
                <w:b/>
                <w:sz w:val="18"/>
                <w:szCs w:val="18"/>
              </w:rPr>
              <w:t>Proposta migliorativa offerta</w:t>
            </w:r>
          </w:p>
        </w:tc>
      </w:tr>
      <w:tr w:rsidR="00DD50F3" w:rsidRPr="00F22BE3" w14:paraId="41AFAF5C" w14:textId="77777777" w:rsidTr="00DD50F3">
        <w:trPr>
          <w:trHeight w:val="196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371E" w14:textId="77777777" w:rsidR="00DD50F3" w:rsidRPr="00DD50F3" w:rsidRDefault="00DD50F3" w:rsidP="00DD50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61B" w14:textId="77777777" w:rsidR="00DD50F3" w:rsidRPr="00DD50F3" w:rsidRDefault="00DD50F3" w:rsidP="00DD50F3">
            <w:pPr>
              <w:autoSpaceDE w:val="0"/>
              <w:autoSpaceDN w:val="0"/>
              <w:adjustRightInd w:val="0"/>
              <w:spacing w:after="4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SEZIONE III Art. 3</w:t>
            </w:r>
          </w:p>
          <w:p w14:paraId="4785BA17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Alta specializzazione</w:t>
            </w:r>
          </w:p>
          <w:p w14:paraId="7040EDED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Diminuzione franchigia nelle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 xml:space="preserve">strutture sanitarie convenzionate. 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Possibilità di utilizzare le strutture sanitarie convenzionate con la Società ottenendo il pagamento diretto (senza anticipo da parte dell’Assicurato) con applicazione di una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franchigia di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€30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AAE" w14:textId="77777777" w:rsidR="00DD50F3" w:rsidRPr="00DD50F3" w:rsidRDefault="00DD50F3" w:rsidP="00DD50F3">
            <w:pPr>
              <w:numPr>
                <w:ilvl w:val="0"/>
                <w:numId w:val="38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bCs/>
                <w:sz w:val="18"/>
                <w:szCs w:val="18"/>
              </w:rPr>
              <w:t xml:space="preserve">Riduzione della franchigia da € 30 a € 15 per prestazione, </w:t>
            </w:r>
            <w:r w:rsidRPr="00DD50F3">
              <w:rPr>
                <w:rFonts w:ascii="Montserrat" w:hAnsi="Montserrat"/>
                <w:b/>
                <w:sz w:val="18"/>
                <w:szCs w:val="18"/>
              </w:rPr>
              <w:t>3 punti;</w:t>
            </w:r>
          </w:p>
          <w:p w14:paraId="13DEC92D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64D86D28" w14:textId="77777777" w:rsidR="00DD50F3" w:rsidRPr="00DD50F3" w:rsidRDefault="00DD50F3" w:rsidP="00DD50F3">
            <w:pPr>
              <w:numPr>
                <w:ilvl w:val="0"/>
                <w:numId w:val="38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Eliminazione della franchigia,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punti;</w:t>
            </w:r>
          </w:p>
          <w:p w14:paraId="5DE07F01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087543A6" w14:textId="77777777" w:rsidR="00DD50F3" w:rsidRPr="00DD50F3" w:rsidRDefault="00DD50F3" w:rsidP="00DD50F3">
            <w:pPr>
              <w:numPr>
                <w:ilvl w:val="0"/>
                <w:numId w:val="38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.</w:t>
            </w:r>
          </w:p>
        </w:tc>
      </w:tr>
      <w:tr w:rsidR="00DD50F3" w:rsidRPr="00F22BE3" w14:paraId="03DABB4D" w14:textId="77777777" w:rsidTr="00DD50F3">
        <w:trPr>
          <w:trHeight w:val="218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336B" w14:textId="77777777" w:rsidR="00DD50F3" w:rsidRPr="00DD50F3" w:rsidRDefault="00DD50F3" w:rsidP="00DD50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3EED" w14:textId="77777777" w:rsidR="00DD50F3" w:rsidRPr="00DD50F3" w:rsidRDefault="00DD50F3" w:rsidP="00DD50F3">
            <w:pPr>
              <w:autoSpaceDE w:val="0"/>
              <w:autoSpaceDN w:val="0"/>
              <w:adjustRightInd w:val="0"/>
              <w:spacing w:after="4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SEZIONE III Art. 4</w:t>
            </w:r>
          </w:p>
          <w:p w14:paraId="4DF6E6A2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Visite specialistiche/esami di laboratorio</w:t>
            </w:r>
          </w:p>
          <w:p w14:paraId="13FABB35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Diminuzione franchigia nelle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 xml:space="preserve">strutture sanitarie convenzionate. 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Possibilità di utilizzare le strutture sanitarie convenzionate con la Società ottenendo il pagamento diretto (senza anticipo da parte dell’Assicurato) con applicazione di una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franchigia di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€20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861" w14:textId="77777777" w:rsidR="00DD50F3" w:rsidRPr="00DD50F3" w:rsidRDefault="00DD50F3" w:rsidP="00DD50F3">
            <w:pPr>
              <w:numPr>
                <w:ilvl w:val="0"/>
                <w:numId w:val="38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bCs/>
                <w:sz w:val="18"/>
                <w:szCs w:val="18"/>
              </w:rPr>
              <w:t xml:space="preserve">Riduzione della franchigia da € 20 a € 15 per prestazione, </w:t>
            </w:r>
            <w:r w:rsidRPr="00DD50F3">
              <w:rPr>
                <w:rFonts w:ascii="Montserrat" w:hAnsi="Montserrat"/>
                <w:b/>
                <w:sz w:val="18"/>
                <w:szCs w:val="18"/>
              </w:rPr>
              <w:t>4 punti;</w:t>
            </w:r>
          </w:p>
          <w:p w14:paraId="539E7696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01383EEC" w14:textId="77777777" w:rsidR="00DD50F3" w:rsidRPr="00DD50F3" w:rsidRDefault="00DD50F3" w:rsidP="00DD50F3">
            <w:pPr>
              <w:numPr>
                <w:ilvl w:val="0"/>
                <w:numId w:val="38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Eliminazione della franchigia,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8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punti.</w:t>
            </w:r>
          </w:p>
          <w:p w14:paraId="65D2A2D2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5CBD503E" w14:textId="77777777" w:rsidR="00DD50F3" w:rsidRPr="00DD50F3" w:rsidRDefault="00DD50F3" w:rsidP="00DD50F3">
            <w:pPr>
              <w:numPr>
                <w:ilvl w:val="0"/>
                <w:numId w:val="38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</w:tc>
      </w:tr>
      <w:tr w:rsidR="00DD50F3" w:rsidRPr="00F22BE3" w14:paraId="12CF3AB5" w14:textId="77777777" w:rsidTr="00DD50F3">
        <w:trPr>
          <w:trHeight w:val="244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2B3F" w14:textId="77777777" w:rsidR="00DD50F3" w:rsidRPr="00DD50F3" w:rsidRDefault="00DD50F3" w:rsidP="00DD50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0B85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SEZIONE III Art. 4</w:t>
            </w:r>
          </w:p>
          <w:p w14:paraId="4AFEBC11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Visite specialistiche / esami di laboratorio</w:t>
            </w:r>
          </w:p>
          <w:p w14:paraId="2981AE58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Diminuzione del minimo dello scoperto nelle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 xml:space="preserve">strutture non convenzionate. </w:t>
            </w:r>
            <w:r w:rsidRPr="00DD50F3">
              <w:rPr>
                <w:rFonts w:ascii="Montserrat" w:hAnsi="Montserrat"/>
                <w:sz w:val="18"/>
                <w:szCs w:val="18"/>
              </w:rPr>
              <w:t>Rimborso delle spese sostenute con applicazione di uno scoperto del 20% con il minimo di €70 per ogni accertamento in caso di prestazione effettuata in struttura sanitaria non convenzionata con la Società.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B76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Riduzione del minimo da €70 a €50 per accertamento,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3 punti;</w:t>
            </w:r>
          </w:p>
          <w:p w14:paraId="7698015E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</w:p>
          <w:p w14:paraId="40797BBE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Riduzione del minimo da €70 a €30 per accertamento,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punti.</w:t>
            </w:r>
          </w:p>
          <w:p w14:paraId="0F8D06F6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3050C42A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</w:tc>
      </w:tr>
      <w:tr w:rsidR="00DD50F3" w:rsidRPr="00F22BE3" w14:paraId="4A508730" w14:textId="77777777" w:rsidTr="00DD50F3">
        <w:trPr>
          <w:trHeight w:val="135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F437" w14:textId="77777777" w:rsidR="00DD50F3" w:rsidRPr="00DD50F3" w:rsidRDefault="00DD50F3" w:rsidP="00DD50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lastRenderedPageBreak/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03D" w14:textId="77777777" w:rsidR="00DD50F3" w:rsidRPr="00DD50F3" w:rsidRDefault="00DD50F3" w:rsidP="00DD50F3">
            <w:pPr>
              <w:autoSpaceDE w:val="0"/>
              <w:autoSpaceDN w:val="0"/>
              <w:adjustRightInd w:val="0"/>
              <w:spacing w:after="4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SEZIONE III Art. 5</w:t>
            </w:r>
          </w:p>
          <w:p w14:paraId="076FD156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Medicinali</w:t>
            </w:r>
          </w:p>
          <w:p w14:paraId="67BE7661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Aumento della somma annuale di €100 rimborsabile dalla Società per l’acquisto di medicinali.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28A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Aumento del massimale da €100 a €120 per assicurato,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5 punti;</w:t>
            </w:r>
          </w:p>
          <w:p w14:paraId="22FB2FCE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</w:p>
          <w:p w14:paraId="1965CA1B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Aumento del massimale da €100 a €150 per assicurato,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punti.</w:t>
            </w:r>
          </w:p>
          <w:p w14:paraId="7107203C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</w:p>
          <w:p w14:paraId="396C8101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Nessuna miglioria offerta,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 xml:space="preserve"> 0 punti.</w:t>
            </w:r>
          </w:p>
        </w:tc>
      </w:tr>
      <w:tr w:rsidR="00DD50F3" w:rsidRPr="00F22BE3" w14:paraId="5B93E59F" w14:textId="77777777" w:rsidTr="00DD50F3">
        <w:trPr>
          <w:trHeight w:val="231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1322" w14:textId="77777777" w:rsidR="00DD50F3" w:rsidRPr="00DD50F3" w:rsidRDefault="00DD50F3" w:rsidP="00DD50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B8E5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SEZIONE III Art. 6</w:t>
            </w:r>
          </w:p>
          <w:p w14:paraId="3C5B1636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Trattamenti fisioterapici riabilitativi a seguito di malattia o infortunio</w:t>
            </w:r>
          </w:p>
          <w:p w14:paraId="0D6FFA8D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Diminuzione franchigia nelle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 xml:space="preserve">strutture sanitarie convenzionate. </w:t>
            </w:r>
            <w:r w:rsidRPr="00DD50F3">
              <w:rPr>
                <w:rFonts w:ascii="Montserrat" w:hAnsi="Montserrat"/>
                <w:sz w:val="18"/>
                <w:szCs w:val="18"/>
              </w:rPr>
              <w:t>Possibilità di utilizzare strutture sanitarie convenzionate con la Società ottenendo il pagamento diretto (senza anticipo da parte dell’Assicurato) con applicazione di una franchigia di €70 per accertamento.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A0A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Riduzione della franchigia da €70 a €40 per accertamento,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3 punti;</w:t>
            </w:r>
          </w:p>
          <w:p w14:paraId="3881288E" w14:textId="77777777" w:rsidR="00DD50F3" w:rsidRPr="00DD50F3" w:rsidRDefault="00DD50F3" w:rsidP="00DD50F3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4DFDAEE5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Riduzione della franchigia da €70 a €10 per accertamento,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punti.</w:t>
            </w:r>
          </w:p>
          <w:p w14:paraId="182B62D5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</w:p>
          <w:p w14:paraId="537B3E79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Nessuna miglioria offerta,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 xml:space="preserve"> 0 punti.</w:t>
            </w:r>
          </w:p>
        </w:tc>
      </w:tr>
      <w:tr w:rsidR="00DD50F3" w:rsidRPr="00F22BE3" w14:paraId="5B17435A" w14:textId="77777777" w:rsidTr="00DD50F3">
        <w:trPr>
          <w:trHeight w:val="2529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EF16" w14:textId="77777777" w:rsidR="00DD50F3" w:rsidRPr="00DD50F3" w:rsidRDefault="00DD50F3" w:rsidP="00DD50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F2A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SEZIONE III Art. 6</w:t>
            </w:r>
          </w:p>
          <w:p w14:paraId="1A0005BD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Trattamenti fisioterapici riabilitativi a seguito di malattia o infortunio</w:t>
            </w:r>
          </w:p>
          <w:p w14:paraId="0DE8D138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Diminuzione del minimo non indennizzabile nelle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 xml:space="preserve">strutture sanitarie non convenzionate. </w:t>
            </w:r>
            <w:r w:rsidRPr="00DD50F3">
              <w:rPr>
                <w:rFonts w:ascii="Montserrat" w:hAnsi="Montserrat"/>
                <w:sz w:val="18"/>
                <w:szCs w:val="18"/>
              </w:rPr>
              <w:t>Rimborso delle spese sostenute con applicazione di uno scoperto del 25% con il minimo di €70,00 per ogni accertamento in caso di prestazione effettuata in struttura sanitaria non convenzionata con la Società.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59B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Riduzione del minimo da €70 a €40 per accertamento,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3 punti;</w:t>
            </w:r>
          </w:p>
          <w:p w14:paraId="52DCA0FE" w14:textId="77777777" w:rsidR="00DD50F3" w:rsidRPr="00DD50F3" w:rsidRDefault="00DD50F3" w:rsidP="00DD50F3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5190743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Riduzione del minimo da €70 a €20 per accertamento,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punti.</w:t>
            </w:r>
          </w:p>
          <w:p w14:paraId="5C38911F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</w:p>
          <w:p w14:paraId="01242ECD" w14:textId="77777777" w:rsidR="00DD50F3" w:rsidRPr="00DD50F3" w:rsidRDefault="00DD50F3" w:rsidP="00DD50F3">
            <w:pPr>
              <w:numPr>
                <w:ilvl w:val="0"/>
                <w:numId w:val="39"/>
              </w:numPr>
              <w:ind w:left="320"/>
              <w:contextualSpacing/>
              <w:jc w:val="both"/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Nessuna miglioria offerta,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 xml:space="preserve"> 0 punti.</w:t>
            </w:r>
          </w:p>
        </w:tc>
      </w:tr>
      <w:tr w:rsidR="00DD50F3" w:rsidRPr="00F22BE3" w14:paraId="60488DA0" w14:textId="77777777" w:rsidTr="00DD50F3">
        <w:trPr>
          <w:trHeight w:val="152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BAE0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DB6D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SEZIONE III Art. 7</w:t>
            </w:r>
          </w:p>
          <w:p w14:paraId="265E92FB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 xml:space="preserve">Lenti e/o lenti a contatto </w:t>
            </w:r>
          </w:p>
          <w:p w14:paraId="15396B5F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(escluse le montature)</w:t>
            </w:r>
          </w:p>
          <w:p w14:paraId="56D8DA3A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Diminuzione della franchigia di € 50 a carico dell’Assicurato in caso di spese sostenute per l’acquisto di lenti e /o lenti a contatto (escluse montature)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E2F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Riduzione franchigia da €50 a €30,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3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;</w:t>
            </w:r>
          </w:p>
          <w:p w14:paraId="13E4E61F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4F5CECF5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Riduzione franchigia da €50 a €10,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.</w:t>
            </w:r>
          </w:p>
          <w:p w14:paraId="3AFB4799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54F69531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</w:tc>
      </w:tr>
      <w:tr w:rsidR="00DD50F3" w:rsidRPr="00F22BE3" w14:paraId="17324AFC" w14:textId="77777777" w:rsidTr="00DD50F3">
        <w:trPr>
          <w:trHeight w:val="200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0F36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D86" w14:textId="77777777" w:rsidR="00DD50F3" w:rsidRPr="00DD50F3" w:rsidRDefault="00DD50F3" w:rsidP="00DD50F3">
            <w:pPr>
              <w:autoSpaceDE w:val="0"/>
              <w:autoSpaceDN w:val="0"/>
              <w:adjustRightInd w:val="0"/>
              <w:spacing w:after="4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SEZIONE III Art. 8</w:t>
            </w:r>
          </w:p>
          <w:p w14:paraId="01587E88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Prestazioni odontoiatriche</w:t>
            </w:r>
          </w:p>
          <w:p w14:paraId="3AFADA82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Diminuzione dello scoperto nelle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 xml:space="preserve">strutture sanitarie convenzionate. </w:t>
            </w:r>
            <w:r w:rsidRPr="00DD50F3">
              <w:rPr>
                <w:rFonts w:ascii="Montserrat" w:hAnsi="Montserrat"/>
                <w:sz w:val="18"/>
                <w:szCs w:val="18"/>
              </w:rPr>
              <w:t>Possibilità di utilizzare strutture sanitarie convenzionate con la Società ottenendo il pagamento diretto (senza anticipo da parte dell’assicurato) con applicazione di uno scoperto del 10%.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26C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Riduzione dello scoperto dal 10% al 5%,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4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;</w:t>
            </w:r>
          </w:p>
          <w:p w14:paraId="69A13C54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69944D36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Eliminazione dello scoperto in rete,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8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.</w:t>
            </w:r>
          </w:p>
          <w:p w14:paraId="796303A1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668F30B8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  <w:p w14:paraId="1E4CFF27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D50F3" w:rsidRPr="00F22BE3" w14:paraId="632D9F77" w14:textId="77777777" w:rsidTr="00DD50F3">
        <w:trPr>
          <w:trHeight w:val="200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604A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E050" w14:textId="77777777" w:rsidR="00DD50F3" w:rsidRPr="00DD50F3" w:rsidRDefault="00DD50F3" w:rsidP="00DD50F3">
            <w:pPr>
              <w:autoSpaceDE w:val="0"/>
              <w:autoSpaceDN w:val="0"/>
              <w:adjustRightInd w:val="0"/>
              <w:spacing w:after="4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SEZIONE III Art. 11</w:t>
            </w:r>
          </w:p>
          <w:p w14:paraId="6247000D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  <w:u w:val="single"/>
              </w:rPr>
              <w:t>Garanzia per stati di non autosufficienza</w:t>
            </w:r>
          </w:p>
          <w:p w14:paraId="58D9EC41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Aumento della somma mensile assicurata. </w:t>
            </w:r>
            <w:r w:rsidRPr="00DD50F3">
              <w:rPr>
                <w:rFonts w:ascii="Montserrat" w:hAnsi="Montserrat"/>
                <w:color w:val="000000"/>
                <w:sz w:val="18"/>
                <w:szCs w:val="18"/>
              </w:rPr>
              <w:t>Aumento della somma di €1.000 garantita dalla Società per il rimborso delle spese sanitarie o l’erogazione di servizi di assistenza.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B48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Aumento della somma mensile assicurata da €1.000 a €1.500 per assicurato,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4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;</w:t>
            </w:r>
          </w:p>
          <w:p w14:paraId="0AA571B1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08074030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Aumento della somma mensile assicurata da €1.000 a €2.000 per assicurato,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.</w:t>
            </w:r>
          </w:p>
          <w:p w14:paraId="19361D59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4C10A3BE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  <w:p w14:paraId="356683A5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D50F3" w:rsidRPr="00F22BE3" w14:paraId="058EDD1E" w14:textId="77777777" w:rsidTr="00DD50F3">
        <w:trPr>
          <w:trHeight w:val="139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9416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F37F" w14:textId="77777777" w:rsidR="00DD50F3" w:rsidRPr="00DD50F3" w:rsidRDefault="00DD50F3" w:rsidP="00DD50F3">
            <w:pPr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Numero complessivo,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per tutta la durata contrattuale di operatori che operino esclusivamente nella gestione di polizze sanitarie per il servizio di Centrale Operativa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315D" w14:textId="77777777" w:rsidR="00DD50F3" w:rsidRPr="00DD50F3" w:rsidRDefault="00DD50F3" w:rsidP="00DD50F3">
            <w:pPr>
              <w:numPr>
                <w:ilvl w:val="0"/>
                <w:numId w:val="37"/>
              </w:numPr>
              <w:spacing w:after="200"/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Tra 1 e 149 operatori,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punti;</w:t>
            </w:r>
          </w:p>
          <w:p w14:paraId="06F0C203" w14:textId="77777777" w:rsidR="00DD50F3" w:rsidRPr="00DD50F3" w:rsidRDefault="00DD50F3" w:rsidP="00DD50F3">
            <w:pPr>
              <w:numPr>
                <w:ilvl w:val="0"/>
                <w:numId w:val="37"/>
              </w:numPr>
              <w:spacing w:before="240"/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Tra 150 e 250 operatori,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3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;</w:t>
            </w:r>
          </w:p>
          <w:p w14:paraId="5D4F9F11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52962EEF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Superiore a 250 e fino a 350 operatori,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</w:t>
            </w:r>
          </w:p>
          <w:p w14:paraId="669365E8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3FB96261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Più di 350 operatori,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10 punti</w:t>
            </w:r>
          </w:p>
        </w:tc>
      </w:tr>
      <w:tr w:rsidR="00DD50F3" w:rsidRPr="00F22BE3" w14:paraId="3C677B5C" w14:textId="77777777" w:rsidTr="00DD50F3">
        <w:trPr>
          <w:trHeight w:val="187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351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95D7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>Numero complessivo, per tutta la durata contrattuale dei convenzionamenti diretti con centri diagnostici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 (poliambulatori, case di cura, centri fisioterapici) presenti nelle province di: Bologna, Forlì, Rimini, Cesena e Ravenna.</w:t>
            </w:r>
          </w:p>
          <w:p w14:paraId="46C023A9" w14:textId="77777777" w:rsidR="00DD50F3" w:rsidRPr="00DD50F3" w:rsidRDefault="00DD50F3" w:rsidP="00DD50F3">
            <w:pPr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D9F8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Superiore a 20 e fino a 35 centri diagnostici convenzionati,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3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;</w:t>
            </w:r>
          </w:p>
          <w:p w14:paraId="24CAD530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146160F7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Superiore a 35 e fino a 59 centri diagnostici convenzionati,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</w:t>
            </w: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>.</w:t>
            </w:r>
          </w:p>
          <w:p w14:paraId="76D1A4FD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63B38621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Da 60 centri diagnostici convenzionati,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10 punti.</w:t>
            </w:r>
          </w:p>
          <w:p w14:paraId="792D8284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61F4FCAF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  <w:p w14:paraId="0E8EB3CC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</w:tc>
      </w:tr>
      <w:tr w:rsidR="00DD50F3" w:rsidRPr="00F22BE3" w14:paraId="41BD4975" w14:textId="77777777" w:rsidTr="00DD50F3">
        <w:trPr>
          <w:trHeight w:val="17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5FD2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EE9C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 xml:space="preserve">Numero complessivo, per tutta la durata contrattuale dei convenzionamenti diretti con centri odontoiatrici* </w:t>
            </w:r>
            <w:r w:rsidRPr="00DD50F3">
              <w:rPr>
                <w:rFonts w:ascii="Montserrat" w:hAnsi="Montserrat"/>
                <w:sz w:val="18"/>
                <w:szCs w:val="18"/>
              </w:rPr>
              <w:t>presenti</w:t>
            </w:r>
            <w:r w:rsidRPr="00DD50F3">
              <w:rPr>
                <w:rFonts w:ascii="Montserrat" w:hAnsi="Montserrat"/>
                <w:sz w:val="18"/>
                <w:szCs w:val="18"/>
                <w:u w:val="single"/>
              </w:rPr>
              <w:t xml:space="preserve"> </w:t>
            </w:r>
            <w:r w:rsidRPr="00DD50F3">
              <w:rPr>
                <w:rFonts w:ascii="Montserrat" w:hAnsi="Montserrat"/>
                <w:sz w:val="18"/>
                <w:szCs w:val="18"/>
              </w:rPr>
              <w:t xml:space="preserve">nelle province di: </w:t>
            </w:r>
            <w:bookmarkStart w:id="1" w:name="_Hlk135383166"/>
            <w:r w:rsidRPr="00DD50F3">
              <w:rPr>
                <w:rFonts w:ascii="Montserrat" w:hAnsi="Montserrat"/>
                <w:sz w:val="18"/>
                <w:szCs w:val="18"/>
              </w:rPr>
              <w:t>Bologna, Forlì, Rimini, Cesena e Ravenna</w:t>
            </w:r>
            <w:bookmarkEnd w:id="1"/>
          </w:p>
          <w:p w14:paraId="452A78B0" w14:textId="77777777" w:rsidR="00DD50F3" w:rsidRPr="00DD50F3" w:rsidRDefault="00DD50F3" w:rsidP="00DD50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964E39E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*si intenda il numero di centri o studi odontoiatrici e non il numero di odontoiatri operanti all’interno dei centri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92F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Superiore a 25 e fino a 40 centri odontoiatrici convenzionati,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3 punti</w:t>
            </w:r>
          </w:p>
          <w:p w14:paraId="143F1766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53715954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Superiore a 40 e fino a 64 centri odontoiatrici convenzionati,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6 punti</w:t>
            </w:r>
          </w:p>
          <w:p w14:paraId="3E7CCAFA" w14:textId="77777777" w:rsidR="00DD50F3" w:rsidRPr="00DD50F3" w:rsidRDefault="00DD50F3" w:rsidP="00DD50F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54839C08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Da 65 centri odontoiatrici convenzionati,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10 punti.</w:t>
            </w:r>
          </w:p>
          <w:p w14:paraId="5805B61F" w14:textId="77777777" w:rsidR="00DD50F3" w:rsidRPr="00DD50F3" w:rsidRDefault="00DD50F3" w:rsidP="00DD50F3">
            <w:pPr>
              <w:spacing w:after="200" w:line="276" w:lineRule="auto"/>
              <w:ind w:left="7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  <w:p w14:paraId="6E28AD95" w14:textId="77777777" w:rsidR="00DD50F3" w:rsidRPr="00DD50F3" w:rsidRDefault="00DD50F3" w:rsidP="00DD50F3">
            <w:pPr>
              <w:numPr>
                <w:ilvl w:val="0"/>
                <w:numId w:val="37"/>
              </w:num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  <w:p w14:paraId="299823AB" w14:textId="77777777" w:rsidR="00DD50F3" w:rsidRPr="00DD50F3" w:rsidRDefault="00DD50F3" w:rsidP="00DD50F3">
            <w:pPr>
              <w:ind w:left="32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</w:tc>
      </w:tr>
      <w:tr w:rsidR="00DD50F3" w:rsidRPr="00F22BE3" w14:paraId="56B5B172" w14:textId="77777777" w:rsidTr="00DD50F3">
        <w:trPr>
          <w:trHeight w:val="74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EFE3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9DE6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 xml:space="preserve">Servizio di gestione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(tempi di liquidazione)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5082" w14:textId="77777777" w:rsidR="00DD50F3" w:rsidRPr="00DD50F3" w:rsidRDefault="00DD50F3" w:rsidP="00DD50F3">
            <w:pPr>
              <w:numPr>
                <w:ilvl w:val="0"/>
                <w:numId w:val="40"/>
              </w:numPr>
              <w:ind w:left="38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Riduzione dei tempi di liquidazione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da 30 a 20 giorni, 6 punti;</w:t>
            </w:r>
          </w:p>
          <w:p w14:paraId="3505376F" w14:textId="77777777" w:rsidR="00DD50F3" w:rsidRPr="00DD50F3" w:rsidRDefault="00DD50F3" w:rsidP="00DD50F3">
            <w:pPr>
              <w:numPr>
                <w:ilvl w:val="0"/>
                <w:numId w:val="40"/>
              </w:numPr>
              <w:ind w:left="38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  <w:p w14:paraId="242C7D9C" w14:textId="77777777" w:rsidR="00DD50F3" w:rsidRPr="00DD50F3" w:rsidRDefault="00DD50F3" w:rsidP="00DD50F3">
            <w:pPr>
              <w:ind w:left="38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</w:tc>
      </w:tr>
      <w:tr w:rsidR="00DD50F3" w:rsidRPr="00F22BE3" w14:paraId="11008EF6" w14:textId="77777777" w:rsidTr="00DD50F3">
        <w:trPr>
          <w:trHeight w:val="56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50DD" w14:textId="77777777" w:rsidR="00DD50F3" w:rsidRPr="00DD50F3" w:rsidRDefault="00DD50F3" w:rsidP="00DD50F3">
            <w:pPr>
              <w:rPr>
                <w:rFonts w:ascii="Montserrat" w:hAnsi="Montserrat"/>
                <w:sz w:val="18"/>
                <w:szCs w:val="18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D7B9" w14:textId="77777777" w:rsidR="00DD50F3" w:rsidRPr="00DD50F3" w:rsidRDefault="00DD50F3" w:rsidP="00DD50F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D50F3">
              <w:rPr>
                <w:rFonts w:ascii="Montserrat" w:hAnsi="Montserrat"/>
                <w:b/>
                <w:bCs/>
                <w:sz w:val="18"/>
                <w:szCs w:val="18"/>
                <w:u w:val="single"/>
              </w:rPr>
              <w:t xml:space="preserve">Servizio di gestione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(tempi di presa in carico delle dirette)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98D7" w14:textId="77777777" w:rsidR="00DD50F3" w:rsidRPr="00DD50F3" w:rsidRDefault="00DD50F3" w:rsidP="00DD50F3">
            <w:pPr>
              <w:numPr>
                <w:ilvl w:val="0"/>
                <w:numId w:val="40"/>
              </w:numPr>
              <w:ind w:left="38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hAnsi="Montserrat"/>
                <w:sz w:val="18"/>
                <w:szCs w:val="18"/>
              </w:rPr>
              <w:t xml:space="preserve">Riduzione dei tempi di presa in carico delle dirette </w:t>
            </w:r>
            <w:r w:rsidRPr="00DD50F3">
              <w:rPr>
                <w:rFonts w:ascii="Montserrat" w:hAnsi="Montserrat"/>
                <w:b/>
                <w:bCs/>
                <w:sz w:val="18"/>
                <w:szCs w:val="18"/>
              </w:rPr>
              <w:t>da 5 a 3 giorni, 6 punti.</w:t>
            </w:r>
          </w:p>
          <w:p w14:paraId="0EC758A2" w14:textId="77777777" w:rsidR="00DD50F3" w:rsidRPr="00DD50F3" w:rsidRDefault="00DD50F3" w:rsidP="00DD50F3">
            <w:pPr>
              <w:numPr>
                <w:ilvl w:val="0"/>
                <w:numId w:val="40"/>
              </w:numPr>
              <w:ind w:left="38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D50F3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Nessuna miglioria offerta, </w:t>
            </w:r>
            <w:r w:rsidRPr="00DD50F3">
              <w:rPr>
                <w:rFonts w:ascii="Montserrat" w:eastAsia="Calibri" w:hAnsi="Montserrat"/>
                <w:b/>
                <w:bCs/>
                <w:sz w:val="18"/>
                <w:szCs w:val="18"/>
                <w:lang w:eastAsia="en-US"/>
              </w:rPr>
              <w:t>0 punti.</w:t>
            </w:r>
          </w:p>
          <w:p w14:paraId="10A00151" w14:textId="77777777" w:rsidR="00DD50F3" w:rsidRPr="00DD50F3" w:rsidRDefault="00DD50F3" w:rsidP="00DD50F3">
            <w:pPr>
              <w:ind w:left="380"/>
              <w:contextualSpacing/>
              <w:jc w:val="both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</w:p>
        </w:tc>
      </w:tr>
    </w:tbl>
    <w:p w14:paraId="27422108" w14:textId="2EF9ED6C" w:rsidR="00DD50F3" w:rsidRDefault="00DD50F3" w:rsidP="00631422">
      <w:pPr>
        <w:spacing w:after="160" w:line="259" w:lineRule="auto"/>
        <w:jc w:val="both"/>
        <w:rPr>
          <w:rFonts w:eastAsia="Calibri"/>
          <w:b/>
          <w:color w:val="FF0000"/>
          <w:sz w:val="22"/>
          <w:szCs w:val="18"/>
          <w:lang w:eastAsia="en-US"/>
        </w:rPr>
      </w:pPr>
    </w:p>
    <w:p w14:paraId="6F1EFAC8" w14:textId="62BAFDD1" w:rsidR="006F7AF7" w:rsidRPr="00360960" w:rsidRDefault="00D76264" w:rsidP="00F22BE3">
      <w:pPr>
        <w:shd w:val="clear" w:color="auto" w:fill="FFFFFF"/>
        <w:spacing w:after="160" w:line="259" w:lineRule="auto"/>
        <w:ind w:left="4248"/>
        <w:jc w:val="right"/>
        <w:rPr>
          <w:sz w:val="22"/>
          <w:szCs w:val="22"/>
        </w:rPr>
      </w:pPr>
      <w:r>
        <w:rPr>
          <w:rFonts w:eastAsia="Calibri"/>
          <w:lang w:eastAsia="en-US"/>
        </w:rPr>
        <w:t xml:space="preserve">Firma digitale </w:t>
      </w:r>
      <w:r w:rsidR="00631422" w:rsidRPr="00631422">
        <w:rPr>
          <w:rFonts w:eastAsia="Calibri"/>
          <w:lang w:eastAsia="en-US"/>
        </w:rPr>
        <w:t>del Legale Rappresentante</w:t>
      </w:r>
    </w:p>
    <w:sectPr w:rsidR="006F7AF7" w:rsidRPr="00360960" w:rsidSect="002A6AD4">
      <w:headerReference w:type="default" r:id="rId12"/>
      <w:footerReference w:type="default" r:id="rId13"/>
      <w:pgSz w:w="11906" w:h="16838"/>
      <w:pgMar w:top="2438" w:right="1701" w:bottom="2835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451E" w14:textId="77777777" w:rsidR="00297457" w:rsidRDefault="00297457">
      <w:r>
        <w:separator/>
      </w:r>
    </w:p>
  </w:endnote>
  <w:endnote w:type="continuationSeparator" w:id="0">
    <w:p w14:paraId="177E8ABE" w14:textId="77777777" w:rsidR="00297457" w:rsidRDefault="0029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829A" w14:textId="77777777" w:rsidR="002A6AD4" w:rsidRDefault="002A6AD4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7F831B58" w14:textId="77777777" w:rsidR="002A6AD4" w:rsidRPr="00F4129D" w:rsidRDefault="002A6AD4" w:rsidP="002A6AD4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BCF128" w14:textId="77777777" w:rsidR="002A6AD4" w:rsidRDefault="002A6A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08DD" w14:textId="77777777" w:rsidR="002A6AD4" w:rsidRPr="00F4129D" w:rsidRDefault="002A6AD4" w:rsidP="002A6AD4">
    <w:pPr>
      <w:pStyle w:val="Pidipagina"/>
      <w:jc w:val="center"/>
      <w:rPr>
        <w:sz w:val="18"/>
        <w:szCs w:val="18"/>
      </w:rPr>
    </w:pPr>
  </w:p>
  <w:p w14:paraId="68BE018A" w14:textId="77777777" w:rsidR="002A6AD4" w:rsidRDefault="002A6A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02689"/>
      <w:docPartObj>
        <w:docPartGallery w:val="Page Numbers (Bottom of Page)"/>
        <w:docPartUnique/>
      </w:docPartObj>
    </w:sdtPr>
    <w:sdtEndPr/>
    <w:sdtContent>
      <w:p w14:paraId="57FC7643" w14:textId="4E10D4DE" w:rsidR="002A6AD4" w:rsidRDefault="002A6A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B0">
          <w:rPr>
            <w:noProof/>
          </w:rPr>
          <w:t>9</w:t>
        </w:r>
        <w:r>
          <w:fldChar w:fldCharType="end"/>
        </w:r>
      </w:p>
    </w:sdtContent>
  </w:sdt>
  <w:p w14:paraId="4F848130" w14:textId="77777777" w:rsidR="002A6AD4" w:rsidRDefault="002A6A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BCD4" w14:textId="77777777" w:rsidR="00297457" w:rsidRDefault="00297457">
      <w:r>
        <w:separator/>
      </w:r>
    </w:p>
  </w:footnote>
  <w:footnote w:type="continuationSeparator" w:id="0">
    <w:p w14:paraId="49483C82" w14:textId="77777777" w:rsidR="00297457" w:rsidRDefault="0029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AE75" w14:textId="77777777" w:rsidR="002A6AD4" w:rsidRPr="00631422" w:rsidRDefault="002A6AD4" w:rsidP="002A6AD4">
    <w:pPr>
      <w:pStyle w:val="Intestazione"/>
      <w:jc w:val="center"/>
      <w:rPr>
        <w:rFonts w:ascii="Calibri" w:hAnsi="Calibri" w:cs="Calibri"/>
      </w:rPr>
    </w:pPr>
    <w:r w:rsidRPr="00631422">
      <w:rPr>
        <w:rFonts w:ascii="Calibri" w:hAnsi="Calibri" w:cs="Calibri"/>
        <w:highlight w:val="yellow"/>
      </w:rPr>
      <w:t xml:space="preserve">Carta intestata </w:t>
    </w:r>
    <w:r w:rsidRPr="00631422">
      <w:rPr>
        <w:rFonts w:ascii="Calibri" w:hAnsi="Calibri" w:cs="Calibri"/>
      </w:rPr>
      <w:t>………</w:t>
    </w:r>
  </w:p>
  <w:p w14:paraId="4A7F88D5" w14:textId="77777777" w:rsidR="002A6AD4" w:rsidRDefault="002A6A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DFAD" w14:textId="5D9B891C" w:rsidR="00F45F91" w:rsidRPr="000A6834" w:rsidRDefault="000A6834" w:rsidP="000A6834">
    <w:pPr>
      <w:pStyle w:val="Intestazione"/>
      <w:jc w:val="center"/>
    </w:pPr>
    <w:r>
      <w:rPr>
        <w:noProof/>
      </w:rPr>
      <w:drawing>
        <wp:inline distT="0" distB="0" distL="0" distR="0" wp14:anchorId="0E6A9E7C" wp14:editId="1C0A98FB">
          <wp:extent cx="3060700" cy="182245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87"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82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A005" w14:textId="2B8E37EB" w:rsidR="002A6AD4" w:rsidRDefault="002A6AD4" w:rsidP="002A6AD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24"/>
    <w:multiLevelType w:val="hybridMultilevel"/>
    <w:tmpl w:val="4A24B24A"/>
    <w:lvl w:ilvl="0" w:tplc="804691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076"/>
    <w:multiLevelType w:val="hybridMultilevel"/>
    <w:tmpl w:val="97DC4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1B5"/>
    <w:multiLevelType w:val="hybridMultilevel"/>
    <w:tmpl w:val="0A24738A"/>
    <w:lvl w:ilvl="0" w:tplc="804691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B38"/>
    <w:multiLevelType w:val="hybridMultilevel"/>
    <w:tmpl w:val="5BCC19E4"/>
    <w:lvl w:ilvl="0" w:tplc="9732FA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E90799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F8E"/>
    <w:multiLevelType w:val="hybridMultilevel"/>
    <w:tmpl w:val="B1AE05A6"/>
    <w:lvl w:ilvl="0" w:tplc="12580B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139E5"/>
    <w:multiLevelType w:val="hybridMultilevel"/>
    <w:tmpl w:val="5BCC19E4"/>
    <w:lvl w:ilvl="0" w:tplc="9732FA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E90799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4CD"/>
    <w:multiLevelType w:val="hybridMultilevel"/>
    <w:tmpl w:val="9A02EDD8"/>
    <w:lvl w:ilvl="0" w:tplc="804691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3FCE"/>
    <w:multiLevelType w:val="hybridMultilevel"/>
    <w:tmpl w:val="0F76720E"/>
    <w:lvl w:ilvl="0" w:tplc="262845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4D32"/>
    <w:multiLevelType w:val="hybridMultilevel"/>
    <w:tmpl w:val="89DA171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01E72"/>
    <w:multiLevelType w:val="hybridMultilevel"/>
    <w:tmpl w:val="74D0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5CD6"/>
    <w:multiLevelType w:val="hybridMultilevel"/>
    <w:tmpl w:val="82DA8E30"/>
    <w:lvl w:ilvl="0" w:tplc="DAD23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0008"/>
    <w:multiLevelType w:val="hybridMultilevel"/>
    <w:tmpl w:val="C2246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139D"/>
    <w:multiLevelType w:val="hybridMultilevel"/>
    <w:tmpl w:val="5BCC19E4"/>
    <w:lvl w:ilvl="0" w:tplc="9732FA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E90799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6AFD"/>
    <w:multiLevelType w:val="hybridMultilevel"/>
    <w:tmpl w:val="FC107BC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501E4"/>
    <w:multiLevelType w:val="hybridMultilevel"/>
    <w:tmpl w:val="8D521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46BD8"/>
    <w:multiLevelType w:val="hybridMultilevel"/>
    <w:tmpl w:val="341C6620"/>
    <w:lvl w:ilvl="0" w:tplc="9C828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454F0"/>
    <w:multiLevelType w:val="hybridMultilevel"/>
    <w:tmpl w:val="64488FDC"/>
    <w:lvl w:ilvl="0" w:tplc="262845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0643"/>
    <w:multiLevelType w:val="hybridMultilevel"/>
    <w:tmpl w:val="BF2201FE"/>
    <w:lvl w:ilvl="0" w:tplc="DAD23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B0675"/>
    <w:multiLevelType w:val="hybridMultilevel"/>
    <w:tmpl w:val="852EDD8E"/>
    <w:lvl w:ilvl="0" w:tplc="804691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623DB"/>
    <w:multiLevelType w:val="hybridMultilevel"/>
    <w:tmpl w:val="79A8C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595E"/>
    <w:multiLevelType w:val="hybridMultilevel"/>
    <w:tmpl w:val="77568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932"/>
    <w:multiLevelType w:val="hybridMultilevel"/>
    <w:tmpl w:val="B1AE05A6"/>
    <w:lvl w:ilvl="0" w:tplc="12580BE4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418F4D84"/>
    <w:multiLevelType w:val="hybridMultilevel"/>
    <w:tmpl w:val="EA44EA56"/>
    <w:lvl w:ilvl="0" w:tplc="804691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E3DF7"/>
    <w:multiLevelType w:val="hybridMultilevel"/>
    <w:tmpl w:val="2084ABF0"/>
    <w:lvl w:ilvl="0" w:tplc="DAD23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86F23"/>
    <w:multiLevelType w:val="hybridMultilevel"/>
    <w:tmpl w:val="E03AC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C5158"/>
    <w:multiLevelType w:val="hybridMultilevel"/>
    <w:tmpl w:val="5A1AEB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44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FE2E45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D634C1"/>
    <w:multiLevelType w:val="hybridMultilevel"/>
    <w:tmpl w:val="28DAB128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83E63"/>
    <w:multiLevelType w:val="hybridMultilevel"/>
    <w:tmpl w:val="5C14C90A"/>
    <w:lvl w:ilvl="0" w:tplc="5A445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7AB"/>
    <w:multiLevelType w:val="hybridMultilevel"/>
    <w:tmpl w:val="107E2D26"/>
    <w:lvl w:ilvl="0" w:tplc="1A0CB47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92A75C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23768"/>
    <w:multiLevelType w:val="hybridMultilevel"/>
    <w:tmpl w:val="971EC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A4E92"/>
    <w:multiLevelType w:val="hybridMultilevel"/>
    <w:tmpl w:val="5F8CDED2"/>
    <w:lvl w:ilvl="0" w:tplc="DAD23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C7508"/>
    <w:multiLevelType w:val="hybridMultilevel"/>
    <w:tmpl w:val="EFA05CDA"/>
    <w:lvl w:ilvl="0" w:tplc="62CA45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11701"/>
    <w:multiLevelType w:val="hybridMultilevel"/>
    <w:tmpl w:val="58DC8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2998"/>
    <w:multiLevelType w:val="hybridMultilevel"/>
    <w:tmpl w:val="814A98C0"/>
    <w:lvl w:ilvl="0" w:tplc="281E6378">
      <w:numFmt w:val="bullet"/>
      <w:lvlText w:val="-"/>
      <w:lvlJc w:val="left"/>
      <w:pPr>
        <w:ind w:left="1071" w:hanging="711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4A69"/>
    <w:multiLevelType w:val="hybridMultilevel"/>
    <w:tmpl w:val="5BCC19E4"/>
    <w:lvl w:ilvl="0" w:tplc="9732FA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E90799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62A50"/>
    <w:multiLevelType w:val="hybridMultilevel"/>
    <w:tmpl w:val="03760A90"/>
    <w:lvl w:ilvl="0" w:tplc="FEB073BA">
      <w:numFmt w:val="bullet"/>
      <w:lvlText w:val="•"/>
      <w:lvlJc w:val="left"/>
      <w:pPr>
        <w:ind w:left="1071" w:hanging="711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74CC6"/>
    <w:multiLevelType w:val="hybridMultilevel"/>
    <w:tmpl w:val="F74CC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83632"/>
    <w:multiLevelType w:val="hybridMultilevel"/>
    <w:tmpl w:val="1BBA379E"/>
    <w:lvl w:ilvl="0" w:tplc="410CB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26DD2"/>
    <w:multiLevelType w:val="hybridMultilevel"/>
    <w:tmpl w:val="2D522772"/>
    <w:lvl w:ilvl="0" w:tplc="804691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26"/>
  </w:num>
  <w:num w:numId="5">
    <w:abstractNumId w:val="14"/>
  </w:num>
  <w:num w:numId="6">
    <w:abstractNumId w:val="16"/>
  </w:num>
  <w:num w:numId="7">
    <w:abstractNumId w:val="15"/>
  </w:num>
  <w:num w:numId="8">
    <w:abstractNumId w:val="38"/>
  </w:num>
  <w:num w:numId="9">
    <w:abstractNumId w:val="9"/>
  </w:num>
  <w:num w:numId="10">
    <w:abstractNumId w:val="37"/>
  </w:num>
  <w:num w:numId="11">
    <w:abstractNumId w:val="23"/>
  </w:num>
  <w:num w:numId="12">
    <w:abstractNumId w:val="28"/>
  </w:num>
  <w:num w:numId="13">
    <w:abstractNumId w:val="8"/>
  </w:num>
  <w:num w:numId="14">
    <w:abstractNumId w:val="29"/>
  </w:num>
  <w:num w:numId="15">
    <w:abstractNumId w:val="1"/>
  </w:num>
  <w:num w:numId="16">
    <w:abstractNumId w:val="30"/>
  </w:num>
  <w:num w:numId="17">
    <w:abstractNumId w:val="33"/>
  </w:num>
  <w:num w:numId="18">
    <w:abstractNumId w:val="20"/>
  </w:num>
  <w:num w:numId="19">
    <w:abstractNumId w:val="5"/>
  </w:num>
  <w:num w:numId="20">
    <w:abstractNumId w:val="12"/>
  </w:num>
  <w:num w:numId="21">
    <w:abstractNumId w:val="35"/>
  </w:num>
  <w:num w:numId="22">
    <w:abstractNumId w:val="3"/>
  </w:num>
  <w:num w:numId="23">
    <w:abstractNumId w:val="0"/>
  </w:num>
  <w:num w:numId="24">
    <w:abstractNumId w:val="6"/>
  </w:num>
  <w:num w:numId="25">
    <w:abstractNumId w:val="36"/>
  </w:num>
  <w:num w:numId="26">
    <w:abstractNumId w:val="39"/>
  </w:num>
  <w:num w:numId="27">
    <w:abstractNumId w:val="2"/>
  </w:num>
  <w:num w:numId="28">
    <w:abstractNumId w:val="19"/>
  </w:num>
  <w:num w:numId="29">
    <w:abstractNumId w:val="21"/>
  </w:num>
  <w:num w:numId="30">
    <w:abstractNumId w:val="25"/>
  </w:num>
  <w:num w:numId="31">
    <w:abstractNumId w:val="7"/>
  </w:num>
  <w:num w:numId="32">
    <w:abstractNumId w:val="17"/>
  </w:num>
  <w:num w:numId="33">
    <w:abstractNumId w:val="27"/>
  </w:num>
  <w:num w:numId="34">
    <w:abstractNumId w:val="11"/>
  </w:num>
  <w:num w:numId="35">
    <w:abstractNumId w:val="34"/>
  </w:num>
  <w:num w:numId="36">
    <w:abstractNumId w:val="32"/>
  </w:num>
  <w:num w:numId="37">
    <w:abstractNumId w:val="31"/>
  </w:num>
  <w:num w:numId="38">
    <w:abstractNumId w:val="18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91"/>
    <w:rsid w:val="00011545"/>
    <w:rsid w:val="00011585"/>
    <w:rsid w:val="00014AE7"/>
    <w:rsid w:val="0002054E"/>
    <w:rsid w:val="000345FD"/>
    <w:rsid w:val="00055EA6"/>
    <w:rsid w:val="0005653B"/>
    <w:rsid w:val="00060B89"/>
    <w:rsid w:val="0006222C"/>
    <w:rsid w:val="000860AE"/>
    <w:rsid w:val="0009311F"/>
    <w:rsid w:val="0009442B"/>
    <w:rsid w:val="000A12E4"/>
    <w:rsid w:val="000A299F"/>
    <w:rsid w:val="000A6834"/>
    <w:rsid w:val="000C054F"/>
    <w:rsid w:val="000E2472"/>
    <w:rsid w:val="000E3705"/>
    <w:rsid w:val="000F69BB"/>
    <w:rsid w:val="00103E14"/>
    <w:rsid w:val="0012115A"/>
    <w:rsid w:val="00121CE1"/>
    <w:rsid w:val="00122DA4"/>
    <w:rsid w:val="001238E0"/>
    <w:rsid w:val="001357EE"/>
    <w:rsid w:val="00140FB1"/>
    <w:rsid w:val="00165149"/>
    <w:rsid w:val="00165D9A"/>
    <w:rsid w:val="00173914"/>
    <w:rsid w:val="001913D7"/>
    <w:rsid w:val="001A33D6"/>
    <w:rsid w:val="001A4A88"/>
    <w:rsid w:val="001B36B8"/>
    <w:rsid w:val="001B3B11"/>
    <w:rsid w:val="001C6493"/>
    <w:rsid w:val="001D6E91"/>
    <w:rsid w:val="001E6888"/>
    <w:rsid w:val="001F18EC"/>
    <w:rsid w:val="001F34F8"/>
    <w:rsid w:val="001F38E6"/>
    <w:rsid w:val="00210C69"/>
    <w:rsid w:val="00227154"/>
    <w:rsid w:val="0024165F"/>
    <w:rsid w:val="002455E3"/>
    <w:rsid w:val="00263B28"/>
    <w:rsid w:val="002738C0"/>
    <w:rsid w:val="00284E17"/>
    <w:rsid w:val="0029648F"/>
    <w:rsid w:val="00297457"/>
    <w:rsid w:val="002A6AD4"/>
    <w:rsid w:val="002A7275"/>
    <w:rsid w:val="002C3279"/>
    <w:rsid w:val="002C3E75"/>
    <w:rsid w:val="002D2A3C"/>
    <w:rsid w:val="002D553C"/>
    <w:rsid w:val="002F7E39"/>
    <w:rsid w:val="0030683E"/>
    <w:rsid w:val="00315019"/>
    <w:rsid w:val="003167BA"/>
    <w:rsid w:val="00322313"/>
    <w:rsid w:val="00337887"/>
    <w:rsid w:val="00346C21"/>
    <w:rsid w:val="00360960"/>
    <w:rsid w:val="00362E4B"/>
    <w:rsid w:val="00387D25"/>
    <w:rsid w:val="003C2550"/>
    <w:rsid w:val="003C642B"/>
    <w:rsid w:val="003D0780"/>
    <w:rsid w:val="003D5701"/>
    <w:rsid w:val="003E57DB"/>
    <w:rsid w:val="003E701D"/>
    <w:rsid w:val="003F3BC9"/>
    <w:rsid w:val="003F5518"/>
    <w:rsid w:val="0041690E"/>
    <w:rsid w:val="00421914"/>
    <w:rsid w:val="00432FDA"/>
    <w:rsid w:val="0044122E"/>
    <w:rsid w:val="00442CB3"/>
    <w:rsid w:val="00447F27"/>
    <w:rsid w:val="004514B6"/>
    <w:rsid w:val="00457A25"/>
    <w:rsid w:val="00462120"/>
    <w:rsid w:val="00477EEB"/>
    <w:rsid w:val="00492DCB"/>
    <w:rsid w:val="004A41F7"/>
    <w:rsid w:val="004B50CC"/>
    <w:rsid w:val="004B5398"/>
    <w:rsid w:val="004E01F2"/>
    <w:rsid w:val="004E342F"/>
    <w:rsid w:val="004E4A08"/>
    <w:rsid w:val="004F0209"/>
    <w:rsid w:val="004F1526"/>
    <w:rsid w:val="00523210"/>
    <w:rsid w:val="0052326A"/>
    <w:rsid w:val="0055265A"/>
    <w:rsid w:val="00562BDB"/>
    <w:rsid w:val="00581E82"/>
    <w:rsid w:val="00583FCF"/>
    <w:rsid w:val="005C02C8"/>
    <w:rsid w:val="005C32BA"/>
    <w:rsid w:val="005D272F"/>
    <w:rsid w:val="005E0AE9"/>
    <w:rsid w:val="005E41E8"/>
    <w:rsid w:val="00602884"/>
    <w:rsid w:val="00613C87"/>
    <w:rsid w:val="00615F6F"/>
    <w:rsid w:val="00617515"/>
    <w:rsid w:val="00631422"/>
    <w:rsid w:val="00650909"/>
    <w:rsid w:val="00672D89"/>
    <w:rsid w:val="00677855"/>
    <w:rsid w:val="006A0BE6"/>
    <w:rsid w:val="006B06B5"/>
    <w:rsid w:val="006B69D1"/>
    <w:rsid w:val="006C0FC6"/>
    <w:rsid w:val="006C511E"/>
    <w:rsid w:val="006C7FBE"/>
    <w:rsid w:val="006D72BA"/>
    <w:rsid w:val="006E499B"/>
    <w:rsid w:val="006F7AF7"/>
    <w:rsid w:val="007162E7"/>
    <w:rsid w:val="00717165"/>
    <w:rsid w:val="007277D8"/>
    <w:rsid w:val="00734B5E"/>
    <w:rsid w:val="00736543"/>
    <w:rsid w:val="0074192A"/>
    <w:rsid w:val="00754D18"/>
    <w:rsid w:val="007A067E"/>
    <w:rsid w:val="007A4D9B"/>
    <w:rsid w:val="007B22E3"/>
    <w:rsid w:val="007B5851"/>
    <w:rsid w:val="007E03A3"/>
    <w:rsid w:val="007E0A93"/>
    <w:rsid w:val="007F034B"/>
    <w:rsid w:val="00804935"/>
    <w:rsid w:val="00826A93"/>
    <w:rsid w:val="00831CA2"/>
    <w:rsid w:val="008407D1"/>
    <w:rsid w:val="00842EFB"/>
    <w:rsid w:val="00843748"/>
    <w:rsid w:val="00854EAF"/>
    <w:rsid w:val="00862805"/>
    <w:rsid w:val="0086785B"/>
    <w:rsid w:val="00872D57"/>
    <w:rsid w:val="00877C73"/>
    <w:rsid w:val="008954E6"/>
    <w:rsid w:val="008A247E"/>
    <w:rsid w:val="008B7372"/>
    <w:rsid w:val="008B7A0F"/>
    <w:rsid w:val="008D6805"/>
    <w:rsid w:val="008D6C65"/>
    <w:rsid w:val="008E48E7"/>
    <w:rsid w:val="008E4F11"/>
    <w:rsid w:val="008F061B"/>
    <w:rsid w:val="00913BB6"/>
    <w:rsid w:val="00923BE3"/>
    <w:rsid w:val="00924FA4"/>
    <w:rsid w:val="00937E4E"/>
    <w:rsid w:val="009471EC"/>
    <w:rsid w:val="009504D1"/>
    <w:rsid w:val="00967185"/>
    <w:rsid w:val="00987B09"/>
    <w:rsid w:val="009A6E47"/>
    <w:rsid w:val="009D3276"/>
    <w:rsid w:val="009E0B4F"/>
    <w:rsid w:val="009E5E0F"/>
    <w:rsid w:val="00A0537A"/>
    <w:rsid w:val="00A074D8"/>
    <w:rsid w:val="00A12A33"/>
    <w:rsid w:val="00A13EDC"/>
    <w:rsid w:val="00A30D5F"/>
    <w:rsid w:val="00A42913"/>
    <w:rsid w:val="00A66970"/>
    <w:rsid w:val="00A91A58"/>
    <w:rsid w:val="00A91E60"/>
    <w:rsid w:val="00AA06F7"/>
    <w:rsid w:val="00AA144D"/>
    <w:rsid w:val="00AA780E"/>
    <w:rsid w:val="00AB361B"/>
    <w:rsid w:val="00AF1A01"/>
    <w:rsid w:val="00AF717C"/>
    <w:rsid w:val="00B22BC9"/>
    <w:rsid w:val="00B240FD"/>
    <w:rsid w:val="00B62EBB"/>
    <w:rsid w:val="00B804FC"/>
    <w:rsid w:val="00BA58F7"/>
    <w:rsid w:val="00BB2274"/>
    <w:rsid w:val="00BC0D14"/>
    <w:rsid w:val="00BC35B1"/>
    <w:rsid w:val="00BD60BC"/>
    <w:rsid w:val="00BE18C4"/>
    <w:rsid w:val="00BE28FD"/>
    <w:rsid w:val="00BE5CA0"/>
    <w:rsid w:val="00BF2477"/>
    <w:rsid w:val="00BF7BE0"/>
    <w:rsid w:val="00C21473"/>
    <w:rsid w:val="00C31B38"/>
    <w:rsid w:val="00C44ACE"/>
    <w:rsid w:val="00C5711B"/>
    <w:rsid w:val="00C65044"/>
    <w:rsid w:val="00C7634D"/>
    <w:rsid w:val="00C85708"/>
    <w:rsid w:val="00C87CB8"/>
    <w:rsid w:val="00C953D6"/>
    <w:rsid w:val="00CA4219"/>
    <w:rsid w:val="00CB57FC"/>
    <w:rsid w:val="00CD6472"/>
    <w:rsid w:val="00CE3829"/>
    <w:rsid w:val="00CE48A7"/>
    <w:rsid w:val="00CE4A3E"/>
    <w:rsid w:val="00CF2661"/>
    <w:rsid w:val="00CF4095"/>
    <w:rsid w:val="00D127DF"/>
    <w:rsid w:val="00D227A5"/>
    <w:rsid w:val="00D22D4B"/>
    <w:rsid w:val="00D36222"/>
    <w:rsid w:val="00D42480"/>
    <w:rsid w:val="00D52031"/>
    <w:rsid w:val="00D6022E"/>
    <w:rsid w:val="00D76264"/>
    <w:rsid w:val="00D77B55"/>
    <w:rsid w:val="00D91251"/>
    <w:rsid w:val="00D96210"/>
    <w:rsid w:val="00DA02B3"/>
    <w:rsid w:val="00DA477A"/>
    <w:rsid w:val="00DB63FA"/>
    <w:rsid w:val="00DC70B0"/>
    <w:rsid w:val="00DD247A"/>
    <w:rsid w:val="00DD50F3"/>
    <w:rsid w:val="00E01851"/>
    <w:rsid w:val="00E03052"/>
    <w:rsid w:val="00E03381"/>
    <w:rsid w:val="00E153D2"/>
    <w:rsid w:val="00E224AF"/>
    <w:rsid w:val="00E341B2"/>
    <w:rsid w:val="00E404E4"/>
    <w:rsid w:val="00E60EE3"/>
    <w:rsid w:val="00E62B0A"/>
    <w:rsid w:val="00E66FD4"/>
    <w:rsid w:val="00E724BC"/>
    <w:rsid w:val="00E74194"/>
    <w:rsid w:val="00E86114"/>
    <w:rsid w:val="00E9103A"/>
    <w:rsid w:val="00E91FBA"/>
    <w:rsid w:val="00E93353"/>
    <w:rsid w:val="00E95ABB"/>
    <w:rsid w:val="00EA239C"/>
    <w:rsid w:val="00EA2926"/>
    <w:rsid w:val="00EA2DBB"/>
    <w:rsid w:val="00EC084A"/>
    <w:rsid w:val="00ED3074"/>
    <w:rsid w:val="00EF298F"/>
    <w:rsid w:val="00EF3714"/>
    <w:rsid w:val="00EF3B1C"/>
    <w:rsid w:val="00F22BE3"/>
    <w:rsid w:val="00F418A0"/>
    <w:rsid w:val="00F45F91"/>
    <w:rsid w:val="00F51467"/>
    <w:rsid w:val="00F5379C"/>
    <w:rsid w:val="00F54CB7"/>
    <w:rsid w:val="00F56A33"/>
    <w:rsid w:val="00F84C3B"/>
    <w:rsid w:val="00F96545"/>
    <w:rsid w:val="00FC7D82"/>
    <w:rsid w:val="00FD108A"/>
    <w:rsid w:val="00FD2A71"/>
    <w:rsid w:val="00FE2A21"/>
    <w:rsid w:val="00FE63D1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5357AA6"/>
  <w15:chartTrackingRefBased/>
  <w15:docId w15:val="{2D538752-0801-45B9-AB67-71B8DF8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D6E91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riferimento2">
    <w:name w:val="riferimento2"/>
    <w:basedOn w:val="Carpredefinitoparagrafo"/>
    <w:rsid w:val="001D6E91"/>
    <w:rPr>
      <w:color w:val="4A970B"/>
    </w:rPr>
  </w:style>
  <w:style w:type="paragraph" w:styleId="Paragrafoelenco">
    <w:name w:val="List Paragraph"/>
    <w:basedOn w:val="Normale"/>
    <w:uiPriority w:val="34"/>
    <w:qFormat/>
    <w:rsid w:val="001D6E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7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7D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st1">
    <w:name w:val="st1"/>
    <w:basedOn w:val="Carpredefinitoparagrafo"/>
    <w:rsid w:val="0074192A"/>
  </w:style>
  <w:style w:type="character" w:styleId="Rimandocommento">
    <w:name w:val="annotation reference"/>
    <w:basedOn w:val="Carpredefinitoparagrafo"/>
    <w:unhideWhenUsed/>
    <w:rsid w:val="005C32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2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2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2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2B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1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08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6314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pidipagina">
    <w:name w:val="Nota a piè di pagina"/>
    <w:basedOn w:val="Normale"/>
    <w:uiPriority w:val="99"/>
    <w:rsid w:val="006F7AF7"/>
    <w:rPr>
      <w:color w:val="00000A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D5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E23D-777C-4754-A64A-CAC6F284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Matilde Morpurgo</cp:lastModifiedBy>
  <cp:revision>12</cp:revision>
  <cp:lastPrinted>2023-06-21T11:23:00Z</cp:lastPrinted>
  <dcterms:created xsi:type="dcterms:W3CDTF">2022-08-22T14:57:00Z</dcterms:created>
  <dcterms:modified xsi:type="dcterms:W3CDTF">2023-06-21T11:49:00Z</dcterms:modified>
</cp:coreProperties>
</file>